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9326C" w14:textId="71F0E837" w:rsidR="00876D88" w:rsidRDefault="00876D88" w:rsidP="008D4031">
      <w:pPr>
        <w:rPr>
          <w:sz w:val="24"/>
          <w:szCs w:val="24"/>
          <w:lang w:val="es-419"/>
        </w:rPr>
      </w:pPr>
    </w:p>
    <w:p w14:paraId="420981D6" w14:textId="4316D038" w:rsidR="00DB1AE4" w:rsidRPr="00400D49" w:rsidRDefault="00400D49" w:rsidP="008D4031">
      <w:pPr>
        <w:rPr>
          <w:b/>
          <w:bCs/>
          <w:sz w:val="24"/>
          <w:szCs w:val="24"/>
          <w:lang w:val="es-419"/>
        </w:rPr>
      </w:pPr>
      <w:r w:rsidRPr="00400D49">
        <w:rPr>
          <w:b/>
          <w:bCs/>
          <w:sz w:val="24"/>
          <w:szCs w:val="24"/>
          <w:lang w:val="es-419"/>
        </w:rPr>
        <w:t>COLECTIVO INTERINSTITUCIONAL CONTRA LA EXPLOTACIÓN SEXUAL COMERCIAL DE NIÑAS, NIÑOS Y ADOLESCENTES</w:t>
      </w:r>
      <w:r>
        <w:rPr>
          <w:b/>
          <w:bCs/>
          <w:sz w:val="24"/>
          <w:szCs w:val="24"/>
          <w:lang w:val="es-419"/>
        </w:rPr>
        <w:t xml:space="preserve"> DEL ECUADOR</w:t>
      </w:r>
    </w:p>
    <w:p w14:paraId="6A99758D" w14:textId="77777777" w:rsidR="00FB689A" w:rsidRDefault="00CB5824" w:rsidP="008D4031">
      <w:pPr>
        <w:rPr>
          <w:sz w:val="22"/>
          <w:szCs w:val="22"/>
        </w:rPr>
      </w:pPr>
      <w:r>
        <w:rPr>
          <w:sz w:val="22"/>
          <w:szCs w:val="22"/>
        </w:rPr>
        <w:t xml:space="preserve">En el Ecuador </w:t>
      </w:r>
      <w:r w:rsidR="00477D97">
        <w:rPr>
          <w:sz w:val="22"/>
          <w:szCs w:val="22"/>
        </w:rPr>
        <w:t>se garantizan los derechos de niñas, niños y adolescentes como un grupo de atención prioritaria, desde la propuesta</w:t>
      </w:r>
      <w:r w:rsidR="005670D5">
        <w:rPr>
          <w:sz w:val="22"/>
          <w:szCs w:val="22"/>
        </w:rPr>
        <w:t xml:space="preserve"> de la Constitución de la República, del Código de la Niñez y Adolescencia y de otras normativas relacionadas, sin embargo,  en el Código Orgánico Integral Penal, </w:t>
      </w:r>
      <w:r>
        <w:rPr>
          <w:sz w:val="22"/>
          <w:szCs w:val="22"/>
        </w:rPr>
        <w:t xml:space="preserve">no se encuentra tipificado la explotación sexual de niñas, niños y adolescentes por separado, sino dentro del delito de trata de personas, razón por la que </w:t>
      </w:r>
      <w:r w:rsidR="005670D5">
        <w:rPr>
          <w:sz w:val="22"/>
          <w:szCs w:val="22"/>
        </w:rPr>
        <w:t>existe</w:t>
      </w:r>
      <w:r w:rsidR="00477D97">
        <w:rPr>
          <w:sz w:val="22"/>
          <w:szCs w:val="22"/>
        </w:rPr>
        <w:t xml:space="preserve"> un Plan Nacional contra la trata de personas con un enfoque más sancionador que protector de derechos y en el cual se </w:t>
      </w:r>
      <w:r w:rsidR="005048A1">
        <w:rPr>
          <w:sz w:val="22"/>
          <w:szCs w:val="22"/>
        </w:rPr>
        <w:t xml:space="preserve">proponen acciones para </w:t>
      </w:r>
      <w:r w:rsidR="00477D97">
        <w:rPr>
          <w:sz w:val="22"/>
          <w:szCs w:val="22"/>
        </w:rPr>
        <w:t>at</w:t>
      </w:r>
      <w:r w:rsidR="005048A1">
        <w:rPr>
          <w:sz w:val="22"/>
          <w:szCs w:val="22"/>
        </w:rPr>
        <w:t>ender</w:t>
      </w:r>
      <w:r w:rsidR="00477D97">
        <w:rPr>
          <w:sz w:val="22"/>
          <w:szCs w:val="22"/>
        </w:rPr>
        <w:t xml:space="preserve"> a niñas, niños y adolescentes víctimas de este delito, sin </w:t>
      </w:r>
      <w:r w:rsidR="005670D5">
        <w:rPr>
          <w:sz w:val="22"/>
          <w:szCs w:val="22"/>
        </w:rPr>
        <w:t>especificidad</w:t>
      </w:r>
      <w:r w:rsidR="00477D97">
        <w:rPr>
          <w:sz w:val="22"/>
          <w:szCs w:val="22"/>
        </w:rPr>
        <w:t xml:space="preserve"> </w:t>
      </w:r>
      <w:r w:rsidR="00FB689A">
        <w:rPr>
          <w:sz w:val="22"/>
          <w:szCs w:val="22"/>
        </w:rPr>
        <w:t xml:space="preserve">de </w:t>
      </w:r>
      <w:r w:rsidR="00477D97">
        <w:rPr>
          <w:sz w:val="22"/>
          <w:szCs w:val="22"/>
        </w:rPr>
        <w:t xml:space="preserve">las </w:t>
      </w:r>
      <w:r w:rsidR="00FB689A">
        <w:rPr>
          <w:sz w:val="22"/>
          <w:szCs w:val="22"/>
        </w:rPr>
        <w:t xml:space="preserve">distintas </w:t>
      </w:r>
      <w:r w:rsidR="00477D97">
        <w:rPr>
          <w:sz w:val="22"/>
          <w:szCs w:val="22"/>
        </w:rPr>
        <w:t>modalidades que en la actualidad tiene la explotación sexual.</w:t>
      </w:r>
    </w:p>
    <w:p w14:paraId="26C104B8" w14:textId="3A2E634C" w:rsidR="00CB5824" w:rsidRDefault="00FB689A" w:rsidP="008D4031">
      <w:pPr>
        <w:rPr>
          <w:sz w:val="22"/>
          <w:szCs w:val="22"/>
        </w:rPr>
      </w:pPr>
      <w:r>
        <w:rPr>
          <w:sz w:val="22"/>
          <w:szCs w:val="22"/>
        </w:rPr>
        <w:t xml:space="preserve">Una de las mayores dificultades que se tiene en este momento, es la falta de información específica, registros administrativos, estadísticas y sanciones en relación a ESCNNA, pues la mayoría de casos son ingresados como trata de personas, razón por la que no se </w:t>
      </w:r>
      <w:r w:rsidR="00FD2F4A">
        <w:rPr>
          <w:sz w:val="22"/>
          <w:szCs w:val="22"/>
        </w:rPr>
        <w:t xml:space="preserve">ha podido definir políticas, programas y servicios específicos y especializados para esta población </w:t>
      </w:r>
    </w:p>
    <w:p w14:paraId="5EB48624" w14:textId="11AEABCC" w:rsidR="00E9436F" w:rsidRPr="00400D49" w:rsidRDefault="00917C84" w:rsidP="008D4031">
      <w:pPr>
        <w:rPr>
          <w:sz w:val="22"/>
          <w:szCs w:val="22"/>
        </w:rPr>
      </w:pPr>
      <w:r>
        <w:rPr>
          <w:sz w:val="22"/>
          <w:szCs w:val="22"/>
        </w:rPr>
        <w:t>En este contexto, se conforma e</w:t>
      </w:r>
      <w:r w:rsidR="00400D49" w:rsidRPr="00400D49">
        <w:rPr>
          <w:sz w:val="22"/>
          <w:szCs w:val="22"/>
        </w:rPr>
        <w:t xml:space="preserve">l Colectivo Interinstitucional contra la Explotación Sexual Comercial de Niñas, Niños y Adolescentes -ESCNNA del Ecuador, </w:t>
      </w:r>
      <w:r>
        <w:rPr>
          <w:sz w:val="22"/>
          <w:szCs w:val="22"/>
        </w:rPr>
        <w:t xml:space="preserve">mismo que </w:t>
      </w:r>
      <w:r w:rsidR="00400D49" w:rsidRPr="00400D49">
        <w:rPr>
          <w:sz w:val="22"/>
          <w:szCs w:val="22"/>
        </w:rPr>
        <w:t xml:space="preserve">está integrado por las siguientes instituciones públicas y privadas: Ministerio de Inclusión Económica y Social, Ministerio de Turismo, Ministerio de Educación, Ministerio de Telecomunicaciones, Ministerio de Gobierno, Ministerio de Relaciones Exteriores y Movilidad Humana, Fiscalía General del Estado, Consejo de la Judicatura, Defensoría del Pueblo, Secretaría de Derechos Humanos, </w:t>
      </w:r>
      <w:r w:rsidR="001071E2">
        <w:rPr>
          <w:sz w:val="22"/>
          <w:szCs w:val="22"/>
        </w:rPr>
        <w:t xml:space="preserve">Consejo Nacional para la Igualdad Intergeneracional y </w:t>
      </w:r>
      <w:r w:rsidR="00400D49" w:rsidRPr="00400D49">
        <w:rPr>
          <w:sz w:val="22"/>
          <w:szCs w:val="22"/>
        </w:rPr>
        <w:t>DINAPEN</w:t>
      </w:r>
      <w:r w:rsidR="001071E2">
        <w:rPr>
          <w:sz w:val="22"/>
          <w:szCs w:val="22"/>
        </w:rPr>
        <w:t xml:space="preserve"> (Policía especializada en niñez y adolescencia)</w:t>
      </w:r>
      <w:r w:rsidR="00400D49" w:rsidRPr="00400D49">
        <w:rPr>
          <w:sz w:val="22"/>
          <w:szCs w:val="22"/>
        </w:rPr>
        <w:t xml:space="preserve">, así como Fundación Quitu Raymi, representante de ECPAT en Ecuador, </w:t>
      </w:r>
      <w:proofErr w:type="spellStart"/>
      <w:r w:rsidR="00400D49" w:rsidRPr="00400D49">
        <w:rPr>
          <w:sz w:val="22"/>
          <w:szCs w:val="22"/>
        </w:rPr>
        <w:t>ChildFund</w:t>
      </w:r>
      <w:proofErr w:type="spellEnd"/>
      <w:r w:rsidR="00400D49" w:rsidRPr="00400D49">
        <w:rPr>
          <w:sz w:val="22"/>
          <w:szCs w:val="22"/>
        </w:rPr>
        <w:t xml:space="preserve"> y Plan Internacional en representación de las organizaciones de la Sociedad Civil</w:t>
      </w:r>
      <w:r w:rsidR="00CB5824">
        <w:rPr>
          <w:sz w:val="22"/>
          <w:szCs w:val="22"/>
        </w:rPr>
        <w:t>.</w:t>
      </w:r>
      <w:r w:rsidR="005F47B8">
        <w:rPr>
          <w:sz w:val="22"/>
          <w:szCs w:val="22"/>
        </w:rPr>
        <w:t xml:space="preserve"> </w:t>
      </w:r>
    </w:p>
    <w:p w14:paraId="325CD88E" w14:textId="2D051FA0" w:rsidR="001071E2" w:rsidRDefault="00400D49" w:rsidP="008D4031">
      <w:pPr>
        <w:rPr>
          <w:sz w:val="22"/>
          <w:szCs w:val="22"/>
        </w:rPr>
      </w:pPr>
      <w:r w:rsidRPr="00400D49">
        <w:rPr>
          <w:sz w:val="22"/>
          <w:szCs w:val="22"/>
        </w:rPr>
        <w:t xml:space="preserve">El Colectivo Interinstitucional ESCNNA, inició sus actividades en el año 2019, con la finalidad de visibilizar y articular acciones entorno a la Explotación Sexual Comercial de Niñas, Niños y Adolescentes. En dicho espacio, se han desarrollado </w:t>
      </w:r>
      <w:r w:rsidR="007558E5">
        <w:rPr>
          <w:sz w:val="22"/>
          <w:szCs w:val="22"/>
        </w:rPr>
        <w:t>las siguientes acciones, entre otras</w:t>
      </w:r>
      <w:r w:rsidRPr="00400D49">
        <w:rPr>
          <w:sz w:val="22"/>
          <w:szCs w:val="22"/>
        </w:rPr>
        <w:t xml:space="preserve">: </w:t>
      </w:r>
    </w:p>
    <w:p w14:paraId="585D485D" w14:textId="77777777" w:rsidR="001071E2" w:rsidRDefault="00400D49" w:rsidP="008D4031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1071E2">
        <w:rPr>
          <w:sz w:val="22"/>
          <w:szCs w:val="22"/>
        </w:rPr>
        <w:t xml:space="preserve">V Encuentro Sub regional “Prevención, protección y restitución de derechos frente a la explotación sexual de niñas, niños y adolescentes (ESNNA): Experiencias para pensar” del 28 al 30 de agosto de 2019. </w:t>
      </w:r>
    </w:p>
    <w:p w14:paraId="67D2F97F" w14:textId="77777777" w:rsidR="001071E2" w:rsidRDefault="00400D49" w:rsidP="008D4031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1071E2">
        <w:rPr>
          <w:sz w:val="22"/>
          <w:szCs w:val="22"/>
        </w:rPr>
        <w:t xml:space="preserve">Coordinación con el Instituto Interamericano del Niño, la Niña y Adolescentes (INN-OEA), para la organización de los cursos semipresenciales sobre Explotación Sexual de Niñas, Niños y Adolescentes, como parte de la oferta académica del Programa Interamericano de Capacitación (PIC) 2019 y 2020, cuyo objetivo es fortalecer capacidades para la promoción y protección del ejercicio de los derechos de niñas, niños y adolescentes, a través del desarrollo de un proceso de formación continua. </w:t>
      </w:r>
    </w:p>
    <w:p w14:paraId="445BC4CB" w14:textId="52B037DA" w:rsidR="001071E2" w:rsidRDefault="00400D49" w:rsidP="008D4031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1071E2">
        <w:rPr>
          <w:sz w:val="22"/>
          <w:szCs w:val="22"/>
        </w:rPr>
        <w:t>Revisión y aportes a la propuesta de reforma del Código Orgánico para la Protección Integral de la Niñas, Niños y Adolescentes COPINNA y a la Propuesta de Observación General 25 del Comité de Derechos del Niño</w:t>
      </w:r>
      <w:r w:rsidR="005670D5">
        <w:rPr>
          <w:sz w:val="22"/>
          <w:szCs w:val="22"/>
        </w:rPr>
        <w:t>, durante 2020 y 2021</w:t>
      </w:r>
      <w:r w:rsidRPr="001071E2">
        <w:rPr>
          <w:sz w:val="22"/>
          <w:szCs w:val="22"/>
        </w:rPr>
        <w:t xml:space="preserve"> </w:t>
      </w:r>
    </w:p>
    <w:p w14:paraId="584A14FE" w14:textId="1A3A5B0A" w:rsidR="005048A1" w:rsidRPr="00FD2F4A" w:rsidRDefault="00400D49" w:rsidP="005048A1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1071E2">
        <w:rPr>
          <w:sz w:val="22"/>
          <w:szCs w:val="22"/>
        </w:rPr>
        <w:lastRenderedPageBreak/>
        <w:t>Elaboración inicial de una propuesta para el Plan Nacional contra la Explotación Sexual Comercial de Niñas, Niños y Ado</w:t>
      </w:r>
      <w:r w:rsidR="005670D5">
        <w:rPr>
          <w:sz w:val="22"/>
          <w:szCs w:val="22"/>
        </w:rPr>
        <w:t>lescentes, durante el 2021</w:t>
      </w:r>
      <w:r w:rsidR="007558E5">
        <w:rPr>
          <w:sz w:val="22"/>
          <w:szCs w:val="22"/>
        </w:rPr>
        <w:t>.</w:t>
      </w:r>
    </w:p>
    <w:p w14:paraId="08D0801C" w14:textId="6063B710" w:rsidR="00D30F82" w:rsidRDefault="00FD2F4A" w:rsidP="00D30F82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D30F82">
        <w:rPr>
          <w:sz w:val="22"/>
          <w:szCs w:val="22"/>
        </w:rPr>
        <w:t>ctualmente en el Colectivo Interinstitucional ESCNNA, estamos buscando la institución pública que, de acuerdo a sus competencias, pueda acoger en su gestión la propuesta del Plan Nacional contra la ESCNNA y coordine con el resto de instituciones competentes las acciones que permita</w:t>
      </w:r>
      <w:r w:rsidR="005048A1">
        <w:rPr>
          <w:sz w:val="22"/>
          <w:szCs w:val="22"/>
        </w:rPr>
        <w:t>n</w:t>
      </w:r>
      <w:r w:rsidR="00D30F82">
        <w:rPr>
          <w:sz w:val="22"/>
          <w:szCs w:val="22"/>
        </w:rPr>
        <w:t xml:space="preserve">, prevenir, atender, proteger </w:t>
      </w:r>
      <w:r w:rsidR="005048A1">
        <w:rPr>
          <w:sz w:val="22"/>
          <w:szCs w:val="22"/>
        </w:rPr>
        <w:t>y sancionar la explotación sexual comercial de niñas, niños y adolescentes.</w:t>
      </w:r>
    </w:p>
    <w:p w14:paraId="6C72C92F" w14:textId="0A9D1141" w:rsidR="002661D8" w:rsidRDefault="002661D8" w:rsidP="00D30F82">
      <w:pPr>
        <w:rPr>
          <w:sz w:val="22"/>
          <w:szCs w:val="22"/>
        </w:rPr>
      </w:pPr>
    </w:p>
    <w:p w14:paraId="46ABA3C9" w14:textId="6C68B769" w:rsidR="002661D8" w:rsidRDefault="002661D8" w:rsidP="002661D8">
      <w:pPr>
        <w:spacing w:line="0" w:lineRule="atLeast"/>
        <w:rPr>
          <w:sz w:val="22"/>
          <w:szCs w:val="22"/>
        </w:rPr>
      </w:pPr>
      <w:r>
        <w:rPr>
          <w:sz w:val="22"/>
          <w:szCs w:val="22"/>
        </w:rPr>
        <w:t>Elaborado por:</w:t>
      </w:r>
    </w:p>
    <w:p w14:paraId="08513002" w14:textId="60B8C14F" w:rsidR="002661D8" w:rsidRDefault="002661D8" w:rsidP="0058347E">
      <w:pPr>
        <w:spacing w:after="0" w:line="20" w:lineRule="atLeast"/>
        <w:rPr>
          <w:sz w:val="22"/>
          <w:szCs w:val="22"/>
        </w:rPr>
      </w:pPr>
      <w:r>
        <w:rPr>
          <w:sz w:val="22"/>
          <w:szCs w:val="22"/>
        </w:rPr>
        <w:t>Sandra Ruiz Gavilanes</w:t>
      </w:r>
    </w:p>
    <w:p w14:paraId="2ADCD914" w14:textId="2888EF87" w:rsidR="002661D8" w:rsidRDefault="002661D8" w:rsidP="0058347E">
      <w:pPr>
        <w:spacing w:after="0" w:line="20" w:lineRule="atLeast"/>
        <w:rPr>
          <w:sz w:val="22"/>
          <w:szCs w:val="22"/>
        </w:rPr>
      </w:pPr>
      <w:r>
        <w:rPr>
          <w:sz w:val="22"/>
          <w:szCs w:val="22"/>
        </w:rPr>
        <w:t>Consejo Nacional para la Igualdad Intergeneracional</w:t>
      </w:r>
    </w:p>
    <w:p w14:paraId="2859E736" w14:textId="58E496BB" w:rsidR="002661D8" w:rsidRDefault="002661D8" w:rsidP="0058347E">
      <w:pPr>
        <w:spacing w:after="0" w:line="20" w:lineRule="atLeast"/>
        <w:rPr>
          <w:sz w:val="22"/>
          <w:szCs w:val="22"/>
        </w:rPr>
      </w:pPr>
      <w:r>
        <w:rPr>
          <w:sz w:val="22"/>
          <w:szCs w:val="22"/>
        </w:rPr>
        <w:t>Ecuador</w:t>
      </w:r>
    </w:p>
    <w:p w14:paraId="0780F46C" w14:textId="77777777" w:rsidR="005048A1" w:rsidRPr="00D30F82" w:rsidRDefault="005048A1" w:rsidP="00D30F82">
      <w:pPr>
        <w:rPr>
          <w:sz w:val="22"/>
          <w:szCs w:val="22"/>
        </w:rPr>
      </w:pPr>
    </w:p>
    <w:sectPr w:rsidR="005048A1" w:rsidRPr="00D30F82" w:rsidSect="00876D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080" w:bottom="1440" w:left="1080" w:header="0" w:footer="2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3A8C" w14:textId="77777777" w:rsidR="00F26286" w:rsidRDefault="00F26286" w:rsidP="008C3FDF">
      <w:pPr>
        <w:spacing w:after="0" w:line="240" w:lineRule="auto"/>
      </w:pPr>
      <w:r>
        <w:separator/>
      </w:r>
    </w:p>
  </w:endnote>
  <w:endnote w:type="continuationSeparator" w:id="0">
    <w:p w14:paraId="5D3731B8" w14:textId="77777777" w:rsidR="00F26286" w:rsidRDefault="00F26286" w:rsidP="008C3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0609" w14:textId="77777777" w:rsidR="00262524" w:rsidRDefault="0026252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8DE9" w14:textId="10D82C56" w:rsidR="008C3FDF" w:rsidRDefault="00B325C4" w:rsidP="00A93860">
    <w:pPr>
      <w:pStyle w:val="Piedepgina"/>
      <w:tabs>
        <w:tab w:val="clear" w:pos="8504"/>
      </w:tabs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46A9AB94" wp14:editId="39CA9D14">
          <wp:simplePos x="0" y="0"/>
          <wp:positionH relativeFrom="page">
            <wp:align>left</wp:align>
          </wp:positionH>
          <wp:positionV relativeFrom="paragraph">
            <wp:posOffset>356235</wp:posOffset>
          </wp:positionV>
          <wp:extent cx="7555132" cy="880745"/>
          <wp:effectExtent l="0" t="0" r="8255" b="0"/>
          <wp:wrapNone/>
          <wp:docPr id="1" name="Picture 1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364" b="-644"/>
                  <a:stretch/>
                </pic:blipFill>
                <pic:spPr bwMode="auto">
                  <a:xfrm>
                    <a:off x="0" y="0"/>
                    <a:ext cx="7555132" cy="8807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386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897D1" w14:textId="77777777" w:rsidR="00262524" w:rsidRDefault="0026252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0B65F" w14:textId="77777777" w:rsidR="00F26286" w:rsidRDefault="00F26286" w:rsidP="008C3FDF">
      <w:pPr>
        <w:spacing w:after="0" w:line="240" w:lineRule="auto"/>
      </w:pPr>
      <w:r>
        <w:separator/>
      </w:r>
    </w:p>
  </w:footnote>
  <w:footnote w:type="continuationSeparator" w:id="0">
    <w:p w14:paraId="4D4935A9" w14:textId="77777777" w:rsidR="00F26286" w:rsidRDefault="00F26286" w:rsidP="008C3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1BE43" w14:textId="77777777" w:rsidR="00262524" w:rsidRDefault="0026252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9C19E" w14:textId="119CDE91" w:rsidR="008C3FDF" w:rsidRDefault="00A93860" w:rsidP="005B587A">
    <w:pPr>
      <w:pStyle w:val="Encabezado"/>
      <w:tabs>
        <w:tab w:val="clear" w:pos="8504"/>
        <w:tab w:val="right" w:pos="8498"/>
      </w:tabs>
      <w:ind w:left="-1985"/>
    </w:pPr>
    <w:r>
      <w:rPr>
        <w:noProof/>
        <w:lang w:val="es-EC" w:eastAsia="es-EC"/>
      </w:rPr>
      <w:drawing>
        <wp:anchor distT="0" distB="0" distL="114300" distR="114300" simplePos="0" relativeHeight="251659264" behindDoc="1" locked="0" layoutInCell="1" allowOverlap="1" wp14:anchorId="33AE2F1D" wp14:editId="7D8B6399">
          <wp:simplePos x="0" y="0"/>
          <wp:positionH relativeFrom="column">
            <wp:posOffset>-1260475</wp:posOffset>
          </wp:positionH>
          <wp:positionV relativeFrom="paragraph">
            <wp:posOffset>0</wp:posOffset>
          </wp:positionV>
          <wp:extent cx="7551599" cy="1539240"/>
          <wp:effectExtent l="0" t="0" r="0" b="3810"/>
          <wp:wrapNone/>
          <wp:docPr id="3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599" cy="153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406CB" w14:textId="77777777" w:rsidR="00262524" w:rsidRDefault="002625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40BB9"/>
    <w:multiLevelType w:val="hybridMultilevel"/>
    <w:tmpl w:val="E96A324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DF"/>
    <w:rsid w:val="0008046E"/>
    <w:rsid w:val="000816A1"/>
    <w:rsid w:val="000B67A3"/>
    <w:rsid w:val="000C6A1B"/>
    <w:rsid w:val="001071E2"/>
    <w:rsid w:val="00124358"/>
    <w:rsid w:val="00160594"/>
    <w:rsid w:val="001815E3"/>
    <w:rsid w:val="001C1361"/>
    <w:rsid w:val="002114BF"/>
    <w:rsid w:val="00212342"/>
    <w:rsid w:val="002163DE"/>
    <w:rsid w:val="00262524"/>
    <w:rsid w:val="002661D8"/>
    <w:rsid w:val="003223A8"/>
    <w:rsid w:val="00364282"/>
    <w:rsid w:val="00385547"/>
    <w:rsid w:val="003B00F8"/>
    <w:rsid w:val="003C2468"/>
    <w:rsid w:val="00400D49"/>
    <w:rsid w:val="004072B5"/>
    <w:rsid w:val="00477D97"/>
    <w:rsid w:val="0049303F"/>
    <w:rsid w:val="004C35C3"/>
    <w:rsid w:val="005048A1"/>
    <w:rsid w:val="005068DA"/>
    <w:rsid w:val="0052386E"/>
    <w:rsid w:val="005670D5"/>
    <w:rsid w:val="0058347E"/>
    <w:rsid w:val="005932E4"/>
    <w:rsid w:val="005B587A"/>
    <w:rsid w:val="005C17E2"/>
    <w:rsid w:val="005F077E"/>
    <w:rsid w:val="005F47B8"/>
    <w:rsid w:val="006A27FD"/>
    <w:rsid w:val="006F24E3"/>
    <w:rsid w:val="00747D3E"/>
    <w:rsid w:val="007506DF"/>
    <w:rsid w:val="007558E5"/>
    <w:rsid w:val="00772CFF"/>
    <w:rsid w:val="00776B9A"/>
    <w:rsid w:val="007C5D90"/>
    <w:rsid w:val="00850FB8"/>
    <w:rsid w:val="00876D88"/>
    <w:rsid w:val="008C3FDF"/>
    <w:rsid w:val="008C42B0"/>
    <w:rsid w:val="008D4031"/>
    <w:rsid w:val="00917C84"/>
    <w:rsid w:val="00A24CF7"/>
    <w:rsid w:val="00A45D63"/>
    <w:rsid w:val="00A54E27"/>
    <w:rsid w:val="00A65A4C"/>
    <w:rsid w:val="00A93860"/>
    <w:rsid w:val="00B325C4"/>
    <w:rsid w:val="00B45A15"/>
    <w:rsid w:val="00B512AD"/>
    <w:rsid w:val="00B55070"/>
    <w:rsid w:val="00B75CEC"/>
    <w:rsid w:val="00BB2883"/>
    <w:rsid w:val="00BD74CD"/>
    <w:rsid w:val="00CA5D72"/>
    <w:rsid w:val="00CB5824"/>
    <w:rsid w:val="00D03461"/>
    <w:rsid w:val="00D30F82"/>
    <w:rsid w:val="00D94DD9"/>
    <w:rsid w:val="00DB1AE4"/>
    <w:rsid w:val="00E03A34"/>
    <w:rsid w:val="00E9436F"/>
    <w:rsid w:val="00EB3232"/>
    <w:rsid w:val="00F00C76"/>
    <w:rsid w:val="00F04942"/>
    <w:rsid w:val="00F15EAC"/>
    <w:rsid w:val="00F26286"/>
    <w:rsid w:val="00F3047B"/>
    <w:rsid w:val="00F7161A"/>
    <w:rsid w:val="00F73FD8"/>
    <w:rsid w:val="00FB689A"/>
    <w:rsid w:val="00FB7B98"/>
    <w:rsid w:val="00FC7256"/>
    <w:rsid w:val="00FD2F4A"/>
    <w:rsid w:val="00FE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7EBC5F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EAC"/>
    <w:pPr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s-EC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15EA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15EA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15EA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15EA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15EAC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15EAC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15EAC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15EAC"/>
    <w:pPr>
      <w:spacing w:after="0"/>
      <w:jc w:val="left"/>
      <w:outlineLvl w:val="7"/>
    </w:pPr>
    <w:rPr>
      <w:b/>
      <w:i/>
      <w:smallCaps/>
      <w:color w:val="94363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15EAC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8C3FDF"/>
  </w:style>
  <w:style w:type="paragraph" w:styleId="Piedepgina">
    <w:name w:val="footer"/>
    <w:basedOn w:val="Normal"/>
    <w:link w:val="PiedepginaCar"/>
    <w:uiPriority w:val="99"/>
    <w:unhideWhenUsed/>
    <w:rsid w:val="008C3FDF"/>
    <w:pPr>
      <w:tabs>
        <w:tab w:val="center" w:pos="4252"/>
        <w:tab w:val="right" w:pos="8504"/>
      </w:tabs>
      <w:spacing w:after="0" w:line="240" w:lineRule="auto"/>
    </w:pPr>
    <w:rPr>
      <w:sz w:val="24"/>
      <w:szCs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C3FDF"/>
  </w:style>
  <w:style w:type="table" w:styleId="Tablaconcuadrcula">
    <w:name w:val="Table Grid"/>
    <w:basedOn w:val="Tablanormal"/>
    <w:uiPriority w:val="39"/>
    <w:rsid w:val="004C35C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C35C3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C17E2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876D8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F15EAC"/>
    <w:rPr>
      <w:rFonts w:ascii="Calibri" w:eastAsia="Times New Roman" w:hAnsi="Calibri" w:cs="Times New Roman"/>
      <w:smallCaps/>
      <w:spacing w:val="5"/>
      <w:sz w:val="32"/>
      <w:szCs w:val="32"/>
      <w:lang w:val="es-EC"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15EAC"/>
    <w:rPr>
      <w:rFonts w:ascii="Calibri" w:eastAsia="Times New Roman" w:hAnsi="Calibri" w:cs="Times New Roman"/>
      <w:smallCaps/>
      <w:spacing w:val="5"/>
      <w:sz w:val="28"/>
      <w:szCs w:val="28"/>
      <w:lang w:val="es-EC"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15EAC"/>
    <w:rPr>
      <w:rFonts w:ascii="Calibri" w:eastAsia="Times New Roman" w:hAnsi="Calibri" w:cs="Times New Roman"/>
      <w:smallCaps/>
      <w:spacing w:val="5"/>
      <w:lang w:val="es-EC"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15EAC"/>
    <w:rPr>
      <w:rFonts w:ascii="Calibri" w:eastAsia="Times New Roman" w:hAnsi="Calibri" w:cs="Times New Roman"/>
      <w:smallCaps/>
      <w:spacing w:val="10"/>
      <w:sz w:val="22"/>
      <w:szCs w:val="22"/>
      <w:lang w:val="es-EC"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15EAC"/>
    <w:rPr>
      <w:rFonts w:ascii="Calibri" w:eastAsia="Times New Roman" w:hAnsi="Calibri" w:cs="Times New Roman"/>
      <w:smallCaps/>
      <w:color w:val="943634"/>
      <w:spacing w:val="10"/>
      <w:sz w:val="22"/>
      <w:szCs w:val="26"/>
      <w:lang w:val="es-EC" w:eastAsia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15EAC"/>
    <w:rPr>
      <w:rFonts w:ascii="Calibri" w:eastAsia="Times New Roman" w:hAnsi="Calibri" w:cs="Times New Roman"/>
      <w:smallCaps/>
      <w:color w:val="C0504D"/>
      <w:spacing w:val="5"/>
      <w:sz w:val="22"/>
      <w:szCs w:val="20"/>
      <w:lang w:val="es-EC"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15EAC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es-EC"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15EAC"/>
    <w:rPr>
      <w:rFonts w:ascii="Calibri" w:eastAsia="Times New Roman" w:hAnsi="Calibri" w:cs="Times New Roman"/>
      <w:b/>
      <w:i/>
      <w:smallCaps/>
      <w:color w:val="943634"/>
      <w:sz w:val="20"/>
      <w:szCs w:val="20"/>
      <w:lang w:val="es-EC"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15EAC"/>
    <w:rPr>
      <w:rFonts w:ascii="Calibri" w:eastAsia="Times New Roman" w:hAnsi="Calibri" w:cs="Times New Roman"/>
      <w:b/>
      <w:i/>
      <w:smallCaps/>
      <w:color w:val="622423"/>
      <w:sz w:val="20"/>
      <w:szCs w:val="20"/>
      <w:lang w:val="es-EC" w:eastAsia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F15EA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Cs w:val="18"/>
      <w:lang w:eastAsia="zh-CN" w:bidi="hi-IN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15EAC"/>
    <w:rPr>
      <w:rFonts w:ascii="Times New Roman" w:eastAsia="SimSun" w:hAnsi="Times New Roman" w:cs="Mangal"/>
      <w:kern w:val="1"/>
      <w:sz w:val="20"/>
      <w:szCs w:val="18"/>
      <w:lang w:val="es-EC" w:eastAsia="zh-CN" w:bidi="hi-IN"/>
    </w:rPr>
  </w:style>
  <w:style w:type="paragraph" w:styleId="NormalWeb">
    <w:name w:val="Normal (Web)"/>
    <w:basedOn w:val="Normal"/>
    <w:uiPriority w:val="99"/>
    <w:unhideWhenUsed/>
    <w:rsid w:val="00F15EA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C"/>
    </w:rPr>
  </w:style>
  <w:style w:type="character" w:styleId="Textoennegrita">
    <w:name w:val="Strong"/>
    <w:uiPriority w:val="22"/>
    <w:qFormat/>
    <w:rsid w:val="00F15EAC"/>
    <w:rPr>
      <w:b/>
      <w:color w:val="C0504D"/>
    </w:rPr>
  </w:style>
  <w:style w:type="character" w:styleId="Refdenotaalpie">
    <w:name w:val="footnote reference"/>
    <w:uiPriority w:val="99"/>
    <w:semiHidden/>
    <w:unhideWhenUsed/>
    <w:rsid w:val="00F15EAC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F15EAC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5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5EAC"/>
    <w:rPr>
      <w:rFonts w:ascii="Segoe UI" w:eastAsia="Times New Roman" w:hAnsi="Segoe UI" w:cs="Segoe UI"/>
      <w:sz w:val="18"/>
      <w:szCs w:val="18"/>
      <w:lang w:val="es-EC" w:eastAsia="es-ES_tradnl"/>
    </w:rPr>
  </w:style>
  <w:style w:type="character" w:customStyle="1" w:styleId="SinespaciadoCar">
    <w:name w:val="Sin espaciado Car"/>
    <w:link w:val="Sinespaciado"/>
    <w:uiPriority w:val="1"/>
    <w:locked/>
    <w:rsid w:val="00F15EAC"/>
  </w:style>
  <w:style w:type="paragraph" w:styleId="Sinespaciado">
    <w:name w:val="No Spacing"/>
    <w:basedOn w:val="Normal"/>
    <w:link w:val="SinespaciadoCar"/>
    <w:uiPriority w:val="1"/>
    <w:qFormat/>
    <w:rsid w:val="00F15EAC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val="es-ES_tradnl" w:eastAsia="en-US"/>
    </w:rPr>
  </w:style>
  <w:style w:type="paragraph" w:styleId="Textoindependiente2">
    <w:name w:val="Body Text 2"/>
    <w:basedOn w:val="Normal"/>
    <w:link w:val="Textoindependiente2Car"/>
    <w:uiPriority w:val="99"/>
    <w:rsid w:val="00F15EAC"/>
    <w:pPr>
      <w:spacing w:after="120" w:line="48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5EAC"/>
    <w:rPr>
      <w:rFonts w:ascii="Times New Roman" w:eastAsia="Times New Roman" w:hAnsi="Times New Roman" w:cs="Times New Roman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rsid w:val="00F15EAC"/>
    <w:pPr>
      <w:spacing w:after="120" w:line="240" w:lineRule="auto"/>
    </w:pPr>
    <w:rPr>
      <w:rFonts w:ascii="Times New Roman" w:hAnsi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15EAC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15EAC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F15EAC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F15EAC"/>
    <w:rPr>
      <w:rFonts w:ascii="Calibri" w:eastAsia="Times New Roman" w:hAnsi="Calibri" w:cs="Times New Roman"/>
      <w:smallCaps/>
      <w:sz w:val="48"/>
      <w:szCs w:val="48"/>
      <w:lang w:val="es-EC"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F15EAC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F15EAC"/>
    <w:rPr>
      <w:rFonts w:ascii="Cambria" w:eastAsia="Times New Roman" w:hAnsi="Cambria" w:cs="Times New Roman"/>
      <w:sz w:val="20"/>
      <w:szCs w:val="22"/>
      <w:lang w:val="es-EC" w:eastAsia="es-ES_tradnl"/>
    </w:rPr>
  </w:style>
  <w:style w:type="character" w:styleId="nfasis">
    <w:name w:val="Emphasis"/>
    <w:uiPriority w:val="20"/>
    <w:qFormat/>
    <w:rsid w:val="00F15EAC"/>
    <w:rPr>
      <w:b/>
      <w:i/>
      <w:spacing w:val="10"/>
    </w:rPr>
  </w:style>
  <w:style w:type="paragraph" w:styleId="Cita">
    <w:name w:val="Quote"/>
    <w:basedOn w:val="Normal"/>
    <w:next w:val="Normal"/>
    <w:link w:val="CitaCar"/>
    <w:uiPriority w:val="29"/>
    <w:qFormat/>
    <w:rsid w:val="00F15EAC"/>
    <w:rPr>
      <w:i/>
    </w:rPr>
  </w:style>
  <w:style w:type="character" w:customStyle="1" w:styleId="CitaCar">
    <w:name w:val="Cita Car"/>
    <w:basedOn w:val="Fuentedeprrafopredeter"/>
    <w:link w:val="Cita"/>
    <w:uiPriority w:val="29"/>
    <w:rsid w:val="00F15EAC"/>
    <w:rPr>
      <w:rFonts w:ascii="Calibri" w:eastAsia="Times New Roman" w:hAnsi="Calibri" w:cs="Times New Roman"/>
      <w:i/>
      <w:sz w:val="20"/>
      <w:szCs w:val="20"/>
      <w:lang w:val="es-EC" w:eastAsia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15EAC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15EAC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es-EC" w:eastAsia="es-ES_tradnl"/>
    </w:rPr>
  </w:style>
  <w:style w:type="character" w:styleId="nfasissutil">
    <w:name w:val="Subtle Emphasis"/>
    <w:uiPriority w:val="19"/>
    <w:qFormat/>
    <w:rsid w:val="00F15EAC"/>
    <w:rPr>
      <w:i/>
    </w:rPr>
  </w:style>
  <w:style w:type="character" w:styleId="nfasisintenso">
    <w:name w:val="Intense Emphasis"/>
    <w:uiPriority w:val="21"/>
    <w:qFormat/>
    <w:rsid w:val="00F15EAC"/>
    <w:rPr>
      <w:b/>
      <w:i/>
      <w:color w:val="C0504D"/>
      <w:spacing w:val="10"/>
    </w:rPr>
  </w:style>
  <w:style w:type="character" w:styleId="Referenciasutil">
    <w:name w:val="Subtle Reference"/>
    <w:uiPriority w:val="31"/>
    <w:qFormat/>
    <w:rsid w:val="00F15EAC"/>
    <w:rPr>
      <w:b/>
    </w:rPr>
  </w:style>
  <w:style w:type="character" w:styleId="Referenciaintensa">
    <w:name w:val="Intense Reference"/>
    <w:uiPriority w:val="32"/>
    <w:qFormat/>
    <w:rsid w:val="00F15EAC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F15EAC"/>
    <w:rPr>
      <w:rFonts w:ascii="Calibri Light" w:eastAsia="Times New Roman" w:hAnsi="Calibri Light" w:cs="Times New Roman"/>
      <w:i/>
      <w:iCs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15EAC"/>
    <w:pPr>
      <w:outlineLvl w:val="9"/>
    </w:pPr>
  </w:style>
  <w:style w:type="paragraph" w:customStyle="1" w:styleId="PersonalName">
    <w:name w:val="Personal Name"/>
    <w:basedOn w:val="Ttulo"/>
    <w:rsid w:val="00F15EAC"/>
    <w:rPr>
      <w:rFonts w:ascii="Arial" w:hAnsi="Arial"/>
      <w:b/>
      <w:caps/>
      <w:color w:val="000000"/>
      <w:sz w:val="28"/>
      <w:szCs w:val="2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5EAC"/>
    <w:pPr>
      <w:widowControl/>
      <w:suppressAutoHyphens w:val="0"/>
      <w:spacing w:after="200" w:line="276" w:lineRule="auto"/>
    </w:pPr>
    <w:rPr>
      <w:rFonts w:ascii="Calibri" w:eastAsia="Times New Roman" w:hAnsi="Calibri" w:cs="Times New Roman"/>
      <w:b/>
      <w:bCs/>
      <w:kern w:val="0"/>
      <w:szCs w:val="20"/>
      <w:lang w:eastAsia="es-ES_tradnl" w:bidi="ar-SA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5EAC"/>
    <w:rPr>
      <w:rFonts w:ascii="Calibri" w:eastAsia="Times New Roman" w:hAnsi="Calibri" w:cs="Times New Roman"/>
      <w:b/>
      <w:bCs/>
      <w:kern w:val="1"/>
      <w:sz w:val="20"/>
      <w:szCs w:val="20"/>
      <w:lang w:val="es-EC" w:eastAsia="es-ES_tradnl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599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Reuniones</cp:lastModifiedBy>
  <cp:revision>7</cp:revision>
  <cp:lastPrinted>2022-02-08T16:38:00Z</cp:lastPrinted>
  <dcterms:created xsi:type="dcterms:W3CDTF">2022-03-25T13:27:00Z</dcterms:created>
  <dcterms:modified xsi:type="dcterms:W3CDTF">2022-03-25T21:19:00Z</dcterms:modified>
</cp:coreProperties>
</file>